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375B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2B4D815" wp14:editId="33305EA2">
            <wp:simplePos x="0" y="0"/>
            <wp:positionH relativeFrom="page">
              <wp:posOffset>577850</wp:posOffset>
            </wp:positionH>
            <wp:positionV relativeFrom="page">
              <wp:posOffset>266700</wp:posOffset>
            </wp:positionV>
            <wp:extent cx="6391986" cy="1409065"/>
            <wp:effectExtent l="0" t="0" r="889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943" cy="1418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1F5282" w14:textId="77777777" w:rsidR="00240186" w:rsidRDefault="00240186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14:paraId="20892FCB" w14:textId="735F5488" w:rsidR="003D3928" w:rsidRDefault="003D3928" w:rsidP="002401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8F2CE5B" w14:textId="7B215430" w:rsidR="00813F1C" w:rsidRDefault="00813F1C" w:rsidP="00813F1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MODULO DI ORIENTAMENTO CLASSI QUARTE</w:t>
      </w:r>
    </w:p>
    <w:p w14:paraId="15E380C2" w14:textId="7365AA59" w:rsidR="00813F1C" w:rsidRDefault="00813F1C" w:rsidP="00813F1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TITOLO: </w:t>
      </w:r>
      <w:r w:rsidR="00FA2E0D">
        <w:rPr>
          <w:rFonts w:ascii="Times New Roman" w:hAnsi="Times New Roman" w:cs="Times New Roman"/>
          <w:b/>
          <w:sz w:val="28"/>
        </w:rPr>
        <w:t>MI ORIENTO VERSO IL FUTURO</w:t>
      </w:r>
    </w:p>
    <w:p w14:paraId="1E4502CF" w14:textId="77777777" w:rsidR="00315C56" w:rsidRDefault="00315C56" w:rsidP="00813F1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304" w:type="pct"/>
        <w:tblInd w:w="-2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7"/>
        <w:gridCol w:w="2301"/>
        <w:gridCol w:w="2356"/>
        <w:gridCol w:w="2203"/>
        <w:gridCol w:w="1080"/>
      </w:tblGrid>
      <w:tr w:rsidR="007B363F" w14:paraId="6C2EAEC3" w14:textId="77777777" w:rsidTr="007B363F">
        <w:trPr>
          <w:trHeight w:val="449"/>
        </w:trPr>
        <w:tc>
          <w:tcPr>
            <w:tcW w:w="2238" w:type="pct"/>
            <w:gridSpan w:val="2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vAlign w:val="center"/>
            <w:hideMark/>
          </w:tcPr>
          <w:p w14:paraId="1076FFF7" w14:textId="77777777" w:rsidR="007B363F" w:rsidRDefault="007B36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Obiettivi orientativi</w:t>
            </w:r>
          </w:p>
        </w:tc>
        <w:tc>
          <w:tcPr>
            <w:tcW w:w="1154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4046631F" w14:textId="77777777" w:rsidR="007B363F" w:rsidRDefault="007B36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Attività</w:t>
            </w:r>
          </w:p>
        </w:tc>
        <w:tc>
          <w:tcPr>
            <w:tcW w:w="1079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67558589" w14:textId="77777777" w:rsidR="007B363F" w:rsidRDefault="007B36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Chi le gestisce</w:t>
            </w:r>
          </w:p>
        </w:tc>
        <w:tc>
          <w:tcPr>
            <w:tcW w:w="529" w:type="pct"/>
            <w:tcBorders>
              <w:top w:val="single" w:sz="6" w:space="0" w:color="325D79"/>
              <w:left w:val="single" w:sz="6" w:space="0" w:color="325D79"/>
              <w:bottom w:val="single" w:sz="6" w:space="0" w:color="325D79"/>
              <w:right w:val="single" w:sz="6" w:space="0" w:color="325D79"/>
            </w:tcBorders>
            <w:shd w:val="clear" w:color="auto" w:fill="869FB1"/>
            <w:hideMark/>
          </w:tcPr>
          <w:p w14:paraId="56F0BA7A" w14:textId="77777777" w:rsidR="007B363F" w:rsidRDefault="007B363F">
            <w:pPr>
              <w:spacing w:line="276" w:lineRule="auto"/>
              <w:jc w:val="center"/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E3E9ED"/>
                <w:kern w:val="24"/>
                <w:lang w:val="es-ES" w:eastAsia="it-IT"/>
              </w:rPr>
              <w:t>Ore</w:t>
            </w:r>
          </w:p>
        </w:tc>
      </w:tr>
      <w:tr w:rsidR="007B363F" w14:paraId="400C4785" w14:textId="77777777" w:rsidTr="00F4062C">
        <w:trPr>
          <w:trHeight w:val="449"/>
        </w:trPr>
        <w:tc>
          <w:tcPr>
            <w:tcW w:w="1111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5F363E0" w14:textId="77777777" w:rsidR="007B363F" w:rsidRDefault="007B36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Abilità/Competenze</w:t>
            </w:r>
          </w:p>
        </w:tc>
        <w:tc>
          <w:tcPr>
            <w:tcW w:w="1127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900"/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754B7E16" w14:textId="77777777" w:rsidR="007B363F" w:rsidRDefault="007B363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b/>
                <w:bCs/>
                <w:color w:val="000000"/>
                <w:kern w:val="24"/>
                <w:lang w:val="es-ES" w:eastAsia="it-IT"/>
              </w:rPr>
              <w:t>Conoscenze</w:t>
            </w:r>
          </w:p>
        </w:tc>
        <w:tc>
          <w:tcPr>
            <w:tcW w:w="1154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6C30F98A" w14:textId="77777777" w:rsidR="007B363F" w:rsidRDefault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1079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DE22489" w14:textId="77777777" w:rsidR="007B363F" w:rsidRDefault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529" w:type="pct"/>
            <w:tcBorders>
              <w:top w:val="single" w:sz="6" w:space="0" w:color="325D7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69EB" w14:textId="77777777" w:rsidR="007B363F" w:rsidRDefault="007B363F">
            <w:pPr>
              <w:spacing w:line="276" w:lineRule="auto"/>
              <w:rPr>
                <w:rFonts w:ascii="Times New Roman" w:eastAsia="Questrial" w:hAnsi="Times New Roman" w:cs="Times New Roman"/>
                <w:color w:val="424242"/>
                <w:kern w:val="24"/>
                <w:lang w:val="es-ES" w:eastAsia="it-IT"/>
              </w:rPr>
            </w:pPr>
          </w:p>
        </w:tc>
      </w:tr>
      <w:tr w:rsidR="007B363F" w14:paraId="6CACE185" w14:textId="77777777" w:rsidTr="00F4062C">
        <w:trPr>
          <w:trHeight w:val="263"/>
        </w:trPr>
        <w:tc>
          <w:tcPr>
            <w:tcW w:w="111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3220896A" w14:textId="77777777" w:rsidR="007B363F" w:rsidRDefault="007B3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5448804" w14:textId="77777777" w:rsidR="007B363F" w:rsidRDefault="007B3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22D97E" w14:textId="77777777" w:rsidR="007B363F" w:rsidRDefault="007B3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FEA106" w14:textId="77777777" w:rsidR="007B363F" w:rsidRDefault="007B363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742C63" w14:textId="7AA77B4B" w:rsidR="007B363F" w:rsidRDefault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Esplorare le opportunità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1AD79734" w14:textId="32CD96AE" w:rsidR="007B363F" w:rsidRDefault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Conoscere i principali enti, istituti, agenzie di supporto per la ricerca attiva del lavoro e i servizi per l’impiego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0FD70140" w14:textId="77777777" w:rsidR="007B363F" w:rsidRPr="007D0122" w:rsidRDefault="007B363F" w:rsidP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Incontri con enti del terzo settore</w:t>
            </w:r>
          </w:p>
          <w:p w14:paraId="62801967" w14:textId="46579DE9" w:rsidR="007B363F" w:rsidRPr="007B363F" w:rsidRDefault="007B363F" w:rsidP="007B363F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Laboratorio studenti-genitori sulle normative che regolano istruzione e mondo del lavoro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69DDD8BC" w14:textId="77777777" w:rsidR="007B363F" w:rsidRPr="007D0122" w:rsidRDefault="007B363F" w:rsidP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Operatori del centro per l’impiego</w:t>
            </w:r>
          </w:p>
          <w:p w14:paraId="7ED098E2" w14:textId="77777777" w:rsidR="007B363F" w:rsidRPr="007D0122" w:rsidRDefault="007B363F" w:rsidP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Enti territoriali</w:t>
            </w:r>
          </w:p>
          <w:p w14:paraId="23860838" w14:textId="77777777" w:rsidR="007B363F" w:rsidRPr="007D0122" w:rsidRDefault="007B363F" w:rsidP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Orientatori di primo livello</w:t>
            </w:r>
          </w:p>
          <w:p w14:paraId="3935C4E3" w14:textId="7E8CA90A" w:rsidR="007B363F" w:rsidRPr="007B363F" w:rsidRDefault="007B363F">
            <w:pPr>
              <w:spacing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</w:p>
          <w:p w14:paraId="5ECF1573" w14:textId="77777777" w:rsidR="007B363F" w:rsidRDefault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C693" w14:textId="0C0B7CE0" w:rsidR="007B363F" w:rsidRDefault="007B363F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1</w:t>
            </w:r>
            <w:r w:rsidR="00FE039C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0</w:t>
            </w:r>
          </w:p>
        </w:tc>
      </w:tr>
      <w:tr w:rsidR="007B363F" w14:paraId="52D7F165" w14:textId="77777777" w:rsidTr="00F4062C">
        <w:trPr>
          <w:trHeight w:val="1822"/>
        </w:trPr>
        <w:tc>
          <w:tcPr>
            <w:tcW w:w="111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54AFA4" w14:textId="77777777" w:rsidR="007B363F" w:rsidRDefault="007B363F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EE2F807" w14:textId="6712C28A" w:rsidR="007B363F" w:rsidRDefault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Conoscere il terzo settore e le sue articolazioni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451E907" w14:textId="0B6B982D" w:rsidR="007B363F" w:rsidRDefault="007B363F">
            <w:pPr>
              <w:spacing w:line="276" w:lineRule="auto"/>
              <w:rPr>
                <w:rFonts w:ascii="Times New Roman" w:eastAsia="Nunito" w:hAnsi="Times New Roman" w:cs="Times New Roman"/>
                <w:kern w:val="24"/>
                <w:lang w:val="es-ES"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Incontri con enti del terzo settore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77EE9562" w14:textId="77777777" w:rsidR="007B363F" w:rsidRPr="007D0122" w:rsidRDefault="007B363F" w:rsidP="007B363F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Operatori del terzo settore</w:t>
            </w:r>
          </w:p>
          <w:p w14:paraId="215479BA" w14:textId="6B0612CA" w:rsidR="007B363F" w:rsidRPr="007B363F" w:rsidRDefault="007B363F" w:rsidP="007B363F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 w:rsidRPr="007D0122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Orientatori di primo livello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EA68B" w14:textId="2D69139F" w:rsidR="007B363F" w:rsidRDefault="00FE039C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5</w:t>
            </w:r>
          </w:p>
        </w:tc>
      </w:tr>
      <w:tr w:rsidR="007B363F" w14:paraId="03B3F808" w14:textId="77777777" w:rsidTr="00486ECD">
        <w:trPr>
          <w:trHeight w:val="1286"/>
        </w:trPr>
        <w:tc>
          <w:tcPr>
            <w:tcW w:w="111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5493CC" w14:textId="77777777" w:rsidR="007B363F" w:rsidRDefault="007B363F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64B6C65C" w14:textId="19B4926C" w:rsidR="007B363F" w:rsidRDefault="00F4062C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eastAsia="Nunito" w:hAnsi="Times New Roman" w:cs="Times New Roman"/>
                <w:iCs/>
                <w:kern w:val="24"/>
                <w:lang w:val="es-ES" w:eastAsia="it-IT"/>
              </w:rPr>
              <w:t>Conoscere le discipline STEM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52E49BAD" w14:textId="0DBA1A6B" w:rsidR="007B363F" w:rsidRDefault="00F4062C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Rappresentare e condividere le storie di donne nella scienza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2EC8F618" w14:textId="18A13392" w:rsidR="007B363F" w:rsidRPr="007B363F" w:rsidRDefault="00F4062C">
            <w:pPr>
              <w:spacing w:after="0"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Insegnanti</w:t>
            </w:r>
            <w:r w:rsidR="00E65CF7">
              <w:rPr>
                <w:rFonts w:ascii="Times New Roman" w:hAnsi="Times New Roman" w:cs="Times New Roman"/>
                <w:lang w:eastAsia="it-IT"/>
              </w:rPr>
              <w:t xml:space="preserve"> curriculari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5CBAF" w14:textId="78963860" w:rsidR="007B363F" w:rsidRDefault="002D3E07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5</w:t>
            </w:r>
          </w:p>
        </w:tc>
      </w:tr>
      <w:tr w:rsidR="00F53C1D" w14:paraId="69DFBAA4" w14:textId="77777777" w:rsidTr="00486ECD">
        <w:trPr>
          <w:trHeight w:val="1128"/>
        </w:trPr>
        <w:tc>
          <w:tcPr>
            <w:tcW w:w="11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726CED3D" w14:textId="547A03C4" w:rsidR="00F53C1D" w:rsidRDefault="00F53C1D" w:rsidP="0055360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Nuove competenze e nuovi linguaggi</w:t>
            </w:r>
          </w:p>
          <w:p w14:paraId="57D631BF" w14:textId="77777777" w:rsidR="00F53C1D" w:rsidRDefault="00F53C1D" w:rsidP="0055360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  <w:p w14:paraId="4F3F5E80" w14:textId="77777777" w:rsidR="00F53C1D" w:rsidRDefault="00F53C1D" w:rsidP="0055360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  <w:p w14:paraId="5DBF86FC" w14:textId="1C7ED116" w:rsidR="00F53C1D" w:rsidRDefault="00F53C1D" w:rsidP="0055360B">
            <w:pPr>
              <w:spacing w:line="276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  <w:hideMark/>
          </w:tcPr>
          <w:p w14:paraId="11F820B5" w14:textId="191B354A" w:rsidR="00DF67A4" w:rsidRDefault="00DF67A4" w:rsidP="0055360B">
            <w:pPr>
              <w:spacing w:line="276" w:lineRule="auto"/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  <w:t>Conoscere le nuove competenze chiave per l’apprendimento permanente</w:t>
            </w:r>
          </w:p>
          <w:p w14:paraId="17AA6C6F" w14:textId="5A617566" w:rsidR="00F53C1D" w:rsidRPr="00F53C1D" w:rsidRDefault="00F53C1D" w:rsidP="0055360B">
            <w:pPr>
              <w:spacing w:line="276" w:lineRule="auto"/>
              <w:rPr>
                <w:rFonts w:ascii="Times New Roman" w:eastAsia="Nunito" w:hAnsi="Times New Roman" w:cs="Times New Roman"/>
                <w:iCs/>
                <w:color w:val="424242"/>
                <w:kern w:val="24"/>
                <w:lang w:val="es-ES" w:eastAsia="it-IT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0EF753D0" w14:textId="77777777" w:rsidR="00525694" w:rsidRDefault="00F53C1D" w:rsidP="0055360B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Laboratori</w:t>
            </w:r>
            <w:r w:rsidR="00525694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o di lingue</w:t>
            </w:r>
          </w:p>
          <w:p w14:paraId="495B3E63" w14:textId="097FDB3E" w:rsidR="00F53C1D" w:rsidRPr="00F53C1D" w:rsidRDefault="00525694" w:rsidP="0055360B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Laboratorio di informatica</w:t>
            </w:r>
            <w:r w:rsidR="00F53C1D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 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8" w:type="dxa"/>
              <w:bottom w:w="144" w:type="dxa"/>
              <w:right w:w="38" w:type="dxa"/>
            </w:tcMar>
          </w:tcPr>
          <w:p w14:paraId="5D0741C5" w14:textId="77777777" w:rsidR="00F53C1D" w:rsidRDefault="00525694" w:rsidP="00F53C1D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 xml:space="preserve">Insegnanti di lingue straniere </w:t>
            </w:r>
          </w:p>
          <w:p w14:paraId="0AEDD186" w14:textId="4096F31C" w:rsidR="00525694" w:rsidRPr="00F53C1D" w:rsidRDefault="00525694" w:rsidP="00F53C1D">
            <w:pPr>
              <w:spacing w:after="0" w:line="276" w:lineRule="auto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Insegnanti di informatica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BAFAF" w14:textId="48E00EA7" w:rsidR="00F53C1D" w:rsidRDefault="00F53C1D" w:rsidP="0055360B">
            <w:pPr>
              <w:spacing w:line="276" w:lineRule="auto"/>
              <w:jc w:val="center"/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</w:pPr>
            <w:r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1</w:t>
            </w:r>
            <w:r w:rsidR="00FE039C">
              <w:rPr>
                <w:rFonts w:ascii="Times New Roman" w:eastAsia="Nunito" w:hAnsi="Times New Roman" w:cs="Times New Roman"/>
                <w:color w:val="424242"/>
                <w:kern w:val="24"/>
                <w:lang w:val="es-ES" w:eastAsia="it-IT"/>
              </w:rPr>
              <w:t>0</w:t>
            </w:r>
          </w:p>
        </w:tc>
      </w:tr>
    </w:tbl>
    <w:p w14:paraId="1EB6BDBA" w14:textId="5DAA15F2" w:rsidR="00BB56DB" w:rsidRDefault="00BB56DB">
      <w:pPr>
        <w:rPr>
          <w:rFonts w:ascii="Times New Roman" w:hAnsi="Times New Roman" w:cs="Times New Roman"/>
          <w:b/>
        </w:rPr>
      </w:pPr>
    </w:p>
    <w:sectPr w:rsidR="00BB56DB" w:rsidSect="004B4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F47AC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76C7CAA"/>
    <w:multiLevelType w:val="hybridMultilevel"/>
    <w:tmpl w:val="D4E4DB2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162A"/>
    <w:multiLevelType w:val="hybridMultilevel"/>
    <w:tmpl w:val="FDC86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7A63"/>
    <w:multiLevelType w:val="hybridMultilevel"/>
    <w:tmpl w:val="E3A2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4601"/>
    <w:multiLevelType w:val="hybridMultilevel"/>
    <w:tmpl w:val="A3DA5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2D07"/>
    <w:multiLevelType w:val="hybridMultilevel"/>
    <w:tmpl w:val="5ACA8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0CB3"/>
    <w:multiLevelType w:val="hybridMultilevel"/>
    <w:tmpl w:val="AB9E3A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CA47EDE"/>
    <w:multiLevelType w:val="hybridMultilevel"/>
    <w:tmpl w:val="1B1E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607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8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9D"/>
    <w:rsid w:val="001B5A93"/>
    <w:rsid w:val="00240186"/>
    <w:rsid w:val="00284397"/>
    <w:rsid w:val="002C72A1"/>
    <w:rsid w:val="002D3E07"/>
    <w:rsid w:val="00315C56"/>
    <w:rsid w:val="003859C4"/>
    <w:rsid w:val="003A689D"/>
    <w:rsid w:val="003D3928"/>
    <w:rsid w:val="00486ECD"/>
    <w:rsid w:val="004B4022"/>
    <w:rsid w:val="00525694"/>
    <w:rsid w:val="007050D9"/>
    <w:rsid w:val="00752445"/>
    <w:rsid w:val="007760A5"/>
    <w:rsid w:val="007B363F"/>
    <w:rsid w:val="00813F1C"/>
    <w:rsid w:val="00850BCB"/>
    <w:rsid w:val="00966378"/>
    <w:rsid w:val="009E760B"/>
    <w:rsid w:val="009F6714"/>
    <w:rsid w:val="00A032B5"/>
    <w:rsid w:val="00AC23BF"/>
    <w:rsid w:val="00AC7D8E"/>
    <w:rsid w:val="00B75BC0"/>
    <w:rsid w:val="00BB56DB"/>
    <w:rsid w:val="00CA5063"/>
    <w:rsid w:val="00CE1FBB"/>
    <w:rsid w:val="00D11ABC"/>
    <w:rsid w:val="00DD0E94"/>
    <w:rsid w:val="00DF36D0"/>
    <w:rsid w:val="00DF67A4"/>
    <w:rsid w:val="00E500D5"/>
    <w:rsid w:val="00E65CF7"/>
    <w:rsid w:val="00EA5D57"/>
    <w:rsid w:val="00F4062C"/>
    <w:rsid w:val="00F53C1D"/>
    <w:rsid w:val="00F60DED"/>
    <w:rsid w:val="00FA2E0D"/>
    <w:rsid w:val="00FE039C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7C8C"/>
  <w15:chartTrackingRefBased/>
  <w15:docId w15:val="{DDC18331-4E56-46EB-BCE0-F1C3612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next w:val="Normale"/>
    <w:link w:val="Titolo1Carattere"/>
    <w:qFormat/>
    <w:rsid w:val="00DF36D0"/>
    <w:pPr>
      <w:outlineLvl w:val="0"/>
    </w:pPr>
    <w:rPr>
      <w:rFonts w:ascii="Titillium" w:hAnsi="Titillium"/>
      <w:b/>
      <w:color w:val="1B5D89"/>
      <w:szCs w:val="8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7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76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186"/>
    <w:pPr>
      <w:spacing w:after="0" w:line="240" w:lineRule="auto"/>
      <w:ind w:left="720"/>
      <w:contextualSpacing/>
    </w:pPr>
    <w:rPr>
      <w:rFonts w:ascii="Titillium" w:eastAsiaTheme="minorEastAsia" w:hAnsi="Titillium"/>
      <w:kern w:val="2"/>
      <w:sz w:val="24"/>
      <w:szCs w:val="24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rsid w:val="00DF36D0"/>
    <w:rPr>
      <w:rFonts w:ascii="Titillium" w:eastAsiaTheme="majorEastAsia" w:hAnsi="Titillium" w:cstheme="majorBidi"/>
      <w:b/>
      <w:color w:val="1B5D89"/>
      <w:spacing w:val="-10"/>
      <w:kern w:val="28"/>
      <w:sz w:val="56"/>
      <w:szCs w:val="80"/>
      <w14:ligatures w14:val="standardContextu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36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76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76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6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DED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60D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96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Polimeni</cp:lastModifiedBy>
  <cp:revision>26</cp:revision>
  <dcterms:created xsi:type="dcterms:W3CDTF">2023-12-11T18:50:00Z</dcterms:created>
  <dcterms:modified xsi:type="dcterms:W3CDTF">2023-12-13T17:12:00Z</dcterms:modified>
</cp:coreProperties>
</file>